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32" w:rsidRPr="00836624" w:rsidRDefault="005C0032" w:rsidP="005C0032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836624">
        <w:rPr>
          <w:rFonts w:ascii="仿宋" w:eastAsia="仿宋" w:hAnsi="仿宋" w:hint="eastAsia"/>
          <w:sz w:val="28"/>
          <w:szCs w:val="28"/>
        </w:rPr>
        <w:t>附件1</w:t>
      </w:r>
    </w:p>
    <w:p w:rsidR="005C0032" w:rsidRPr="00836624" w:rsidRDefault="005C0032" w:rsidP="005C0032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36624">
        <w:rPr>
          <w:rFonts w:ascii="仿宋" w:eastAsia="仿宋" w:hAnsi="仿宋" w:hint="eastAsia"/>
          <w:b/>
          <w:sz w:val="28"/>
          <w:szCs w:val="28"/>
        </w:rPr>
        <w:t>中央国家机关应建人民防空工程建筑面积标准</w:t>
      </w:r>
      <w:r w:rsidRPr="00836624">
        <w:rPr>
          <w:rFonts w:ascii="仿宋" w:eastAsia="仿宋" w:hAnsi="仿宋" w:hint="eastAsia"/>
          <w:sz w:val="28"/>
          <w:szCs w:val="28"/>
        </w:rPr>
        <w:t> </w:t>
      </w:r>
    </w:p>
    <w:tbl>
      <w:tblPr>
        <w:tblStyle w:val="a"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23"/>
        <w:gridCol w:w="588"/>
        <w:gridCol w:w="1980"/>
        <w:gridCol w:w="2631"/>
      </w:tblGrid>
      <w:tr w:rsidR="005C0032" w:rsidRPr="00836624" w:rsidTr="00FF6F9E">
        <w:trPr>
          <w:trHeight w:val="850"/>
          <w:jc w:val="center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用地性质</w:t>
            </w:r>
          </w:p>
        </w:tc>
        <w:tc>
          <w:tcPr>
            <w:tcW w:w="56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应建人民防空工程建筑面积</w:t>
            </w:r>
          </w:p>
        </w:tc>
      </w:tr>
      <w:tr w:rsidR="005C0032" w:rsidRPr="00836624" w:rsidTr="00FF6F9E">
        <w:trPr>
          <w:trHeight w:val="912"/>
          <w:jc w:val="center"/>
        </w:trPr>
        <w:tc>
          <w:tcPr>
            <w:tcW w:w="3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A（公共管理与公共服务设施用地）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容积率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r≤1.5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总建筑面积的10%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r＞1.5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总建筑面积的11%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3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B（商业服务业设施用地）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容积率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r≤2.0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总建筑面积的10%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r＞2.0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总建筑面积的11%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3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R（居住用地）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容积率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r≤1.0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总建筑面积的9%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1.0＜r≤2.0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总建筑面积的10%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r＞2.0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总建筑面积的11%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3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M（工业用地）</w:t>
            </w:r>
          </w:p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W（物流仓储用地）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容积率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r≤1.5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总建筑面积的9%</w:t>
            </w:r>
          </w:p>
        </w:tc>
      </w:tr>
      <w:tr w:rsidR="005C0032" w:rsidRPr="00836624" w:rsidTr="00FF6F9E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r＞1.5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总建筑面积的10%</w:t>
            </w:r>
          </w:p>
        </w:tc>
      </w:tr>
      <w:tr w:rsidR="005C0032" w:rsidRPr="00836624" w:rsidTr="00FF6F9E">
        <w:trPr>
          <w:trHeight w:val="1134"/>
          <w:jc w:val="center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S（道路与交通设施用地）</w:t>
            </w:r>
          </w:p>
        </w:tc>
        <w:tc>
          <w:tcPr>
            <w:tcW w:w="56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总建筑面积的9%</w:t>
            </w:r>
          </w:p>
        </w:tc>
      </w:tr>
      <w:tr w:rsidR="005C0032" w:rsidRPr="00836624" w:rsidTr="00FF6F9E">
        <w:trPr>
          <w:trHeight w:val="2115"/>
          <w:jc w:val="center"/>
        </w:trPr>
        <w:tc>
          <w:tcPr>
            <w:tcW w:w="92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注：1.单独立项、总建筑面积不足2000㎡且无地下室建设计划的非居住类民用建筑可不修建人民防空工程。</w:t>
            </w:r>
          </w:p>
          <w:p w:rsidR="005C0032" w:rsidRPr="00836624" w:rsidRDefault="005C0032" w:rsidP="00FF6F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6624">
              <w:rPr>
                <w:rFonts w:ascii="仿宋" w:eastAsia="仿宋" w:hAnsi="仿宋" w:hint="eastAsia"/>
                <w:sz w:val="28"/>
                <w:szCs w:val="28"/>
              </w:rPr>
              <w:t>2.本表中所列用地性质分类及代码均采用《城市用地分类与规划建设用地标准》（GB50137）中城市建设用地标准。</w:t>
            </w:r>
          </w:p>
        </w:tc>
      </w:tr>
    </w:tbl>
    <w:p w:rsidR="005C0032" w:rsidRDefault="005C0032" w:rsidP="005C0032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</w:p>
    <w:p w:rsidR="00967F63" w:rsidRPr="005C0032" w:rsidRDefault="00967F63" w:rsidP="000553A6">
      <w:pPr>
        <w:ind w:firstLine="420"/>
      </w:pPr>
    </w:p>
    <w:sectPr w:rsidR="00967F63" w:rsidRPr="005C0032" w:rsidSect="0096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032"/>
    <w:rsid w:val="000553A6"/>
    <w:rsid w:val="005C0032"/>
    <w:rsid w:val="00831B56"/>
    <w:rsid w:val="00946E49"/>
    <w:rsid w:val="0096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32"/>
    <w:pPr>
      <w:widowControl w:val="0"/>
      <w:spacing w:before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2021-04-15T08:09:00Z</dcterms:created>
  <dcterms:modified xsi:type="dcterms:W3CDTF">2021-04-15T08:10:00Z</dcterms:modified>
</cp:coreProperties>
</file>